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3C" w:rsidRPr="006B5D3C" w:rsidRDefault="006B5D3C" w:rsidP="006B5D3C">
      <w:pPr>
        <w:pStyle w:val="Heading1"/>
      </w:pPr>
      <w:bookmarkStart w:id="0" w:name="_GoBack"/>
      <w:bookmarkEnd w:id="0"/>
      <w:r w:rsidRPr="006B5D3C">
        <w:t>Sample Meeting Minutes</w:t>
      </w:r>
    </w:p>
    <w:p w:rsidR="006B5D3C" w:rsidRPr="006B5D3C" w:rsidRDefault="006B5D3C">
      <w:pPr>
        <w:rPr>
          <w:rFonts w:cstheme="minorHAnsi"/>
        </w:rPr>
      </w:pPr>
    </w:p>
    <w:p w:rsidR="006B5D3C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>Date &amp; Time:</w:t>
      </w:r>
      <w:r w:rsidRPr="006B5D3C">
        <w:rPr>
          <w:rFonts w:cstheme="minorHAnsi"/>
        </w:rPr>
        <w:t>   June 1, 2017    </w:t>
      </w:r>
    </w:p>
    <w:p w:rsidR="00DD279A" w:rsidRPr="006B5D3C" w:rsidRDefault="00DD279A" w:rsidP="00DD279A">
      <w:pPr>
        <w:rPr>
          <w:rFonts w:cstheme="minorHAnsi"/>
          <w:b/>
        </w:rPr>
      </w:pPr>
      <w:r w:rsidRPr="006B5D3C">
        <w:rPr>
          <w:rFonts w:cstheme="minorHAnsi"/>
          <w:b/>
        </w:rPr>
        <w:t xml:space="preserve">Client name: </w:t>
      </w:r>
      <w:r w:rsidRPr="006B5D3C">
        <w:rPr>
          <w:rFonts w:cstheme="minorHAnsi"/>
        </w:rPr>
        <w:t>Top Line Ford Auto, Inc.</w:t>
      </w:r>
    </w:p>
    <w:p w:rsidR="006B5D3C" w:rsidRPr="006B5D3C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>Meeting Type:  </w:t>
      </w:r>
      <w:r w:rsidRPr="006B5D3C">
        <w:rPr>
          <w:rFonts w:cstheme="minorHAnsi"/>
        </w:rPr>
        <w:t>Quarterly investment review</w:t>
      </w:r>
    </w:p>
    <w:p w:rsidR="006B5D3C" w:rsidRPr="006B5D3C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>Attendees:</w:t>
      </w:r>
      <w:r w:rsidRPr="006B5D3C">
        <w:rPr>
          <w:rFonts w:cstheme="minorHAnsi"/>
        </w:rPr>
        <w:t>  Those present included Committee members Dave Stepper, Ryan Matters</w:t>
      </w:r>
      <w:r>
        <w:rPr>
          <w:rFonts w:cstheme="minorHAnsi"/>
        </w:rPr>
        <w:t xml:space="preserve"> </w:t>
      </w:r>
      <w:r w:rsidRPr="006B5D3C">
        <w:rPr>
          <w:rFonts w:cstheme="minorHAnsi"/>
        </w:rPr>
        <w:t>(by phone), Rich Smith and Robin Thomas (by phone).</w:t>
      </w:r>
    </w:p>
    <w:p w:rsidR="006B5D3C" w:rsidRPr="006B5D3C" w:rsidRDefault="006B5D3C" w:rsidP="006B5D3C">
      <w:pPr>
        <w:rPr>
          <w:rFonts w:cstheme="minorHAnsi"/>
        </w:rPr>
      </w:pPr>
    </w:p>
    <w:p w:rsidR="006B5D3C" w:rsidRPr="006B5D3C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 xml:space="preserve">Matters Discussed: </w:t>
      </w:r>
      <w:r w:rsidRPr="006B5D3C">
        <w:rPr>
          <w:rFonts w:cstheme="minorHAnsi"/>
        </w:rPr>
        <w:t>The agenda for this meeting was as follows:</w:t>
      </w:r>
    </w:p>
    <w:p w:rsidR="006B5D3C" w:rsidRDefault="006B5D3C" w:rsidP="006B5D3C">
      <w:pPr>
        <w:pStyle w:val="ListParagraph"/>
        <w:numPr>
          <w:ilvl w:val="0"/>
          <w:numId w:val="29"/>
        </w:numPr>
        <w:spacing w:after="150"/>
        <w:rPr>
          <w:rFonts w:cstheme="minorHAnsi"/>
        </w:rPr>
      </w:pPr>
      <w:r w:rsidRPr="006B5D3C">
        <w:rPr>
          <w:rFonts w:cstheme="minorHAnsi"/>
        </w:rPr>
        <w:t>Review the minutes from our last meeting</w:t>
      </w:r>
    </w:p>
    <w:p w:rsidR="006B5D3C" w:rsidRDefault="006B5D3C" w:rsidP="006B5D3C">
      <w:pPr>
        <w:pStyle w:val="ListParagraph"/>
        <w:numPr>
          <w:ilvl w:val="0"/>
          <w:numId w:val="29"/>
        </w:numPr>
        <w:spacing w:after="150"/>
        <w:rPr>
          <w:rFonts w:cstheme="minorHAnsi"/>
        </w:rPr>
      </w:pPr>
      <w:r w:rsidRPr="006B5D3C">
        <w:rPr>
          <w:rFonts w:cstheme="minorHAnsi"/>
        </w:rPr>
        <w:t>Review status of follow-up items from last meeting</w:t>
      </w:r>
    </w:p>
    <w:p w:rsidR="006B5D3C" w:rsidRDefault="006B5D3C" w:rsidP="006B5D3C">
      <w:pPr>
        <w:pStyle w:val="ListParagraph"/>
        <w:numPr>
          <w:ilvl w:val="0"/>
          <w:numId w:val="29"/>
        </w:numPr>
        <w:spacing w:after="150"/>
        <w:rPr>
          <w:rFonts w:cstheme="minorHAnsi"/>
        </w:rPr>
      </w:pPr>
      <w:r w:rsidRPr="006B5D3C">
        <w:rPr>
          <w:rFonts w:cstheme="minorHAnsi"/>
        </w:rPr>
        <w:t>Review Fi360 monitoring report</w:t>
      </w:r>
    </w:p>
    <w:p w:rsidR="006B5D3C" w:rsidRPr="006B5D3C" w:rsidRDefault="006B5D3C" w:rsidP="006B5D3C">
      <w:pPr>
        <w:pStyle w:val="ListParagraph"/>
        <w:numPr>
          <w:ilvl w:val="0"/>
          <w:numId w:val="29"/>
        </w:numPr>
        <w:spacing w:after="150"/>
        <w:rPr>
          <w:rFonts w:cstheme="minorHAnsi"/>
        </w:rPr>
      </w:pPr>
      <w:r w:rsidRPr="006B5D3C">
        <w:rPr>
          <w:rFonts w:cstheme="minorHAnsi"/>
        </w:rPr>
        <w:t>Other matters as presented during the meeting</w:t>
      </w:r>
    </w:p>
    <w:p w:rsidR="00276EE5" w:rsidRDefault="006B5D3C" w:rsidP="00276EE5">
      <w:pPr>
        <w:spacing w:before="375" w:after="375"/>
        <w:rPr>
          <w:rFonts w:cstheme="minorHAnsi"/>
        </w:rPr>
      </w:pPr>
      <w:r w:rsidRPr="006B5D3C">
        <w:rPr>
          <w:rFonts w:cstheme="minorHAnsi"/>
        </w:rPr>
        <w:t> A summary of meeting highlights is below:</w:t>
      </w:r>
    </w:p>
    <w:p w:rsidR="006B5D3C" w:rsidRPr="00276EE5" w:rsidRDefault="006B5D3C" w:rsidP="00276EE5">
      <w:pPr>
        <w:pStyle w:val="ListParagraph"/>
        <w:numPr>
          <w:ilvl w:val="0"/>
          <w:numId w:val="35"/>
        </w:numPr>
        <w:spacing w:before="375" w:after="375"/>
        <w:rPr>
          <w:rFonts w:cstheme="minorHAnsi"/>
        </w:rPr>
      </w:pPr>
      <w:r w:rsidRPr="00276EE5">
        <w:rPr>
          <w:rFonts w:cstheme="minorHAnsi"/>
        </w:rPr>
        <w:t>Reviewed the minutes from last quarter and verified that the participant website changes that we requested were executed.</w:t>
      </w:r>
    </w:p>
    <w:p w:rsidR="006B5D3C" w:rsidRDefault="006B5D3C" w:rsidP="006B5D3C">
      <w:pPr>
        <w:pStyle w:val="ListParagraph"/>
        <w:numPr>
          <w:ilvl w:val="0"/>
          <w:numId w:val="30"/>
        </w:numPr>
        <w:spacing w:after="150"/>
        <w:rPr>
          <w:rFonts w:cstheme="minorHAnsi"/>
        </w:rPr>
      </w:pPr>
      <w:r w:rsidRPr="006B5D3C">
        <w:rPr>
          <w:rFonts w:cstheme="minorHAnsi"/>
        </w:rPr>
        <w:t xml:space="preserve">Reviewed the Fi360 Monitoring Report.   Three investments are currently on watch.  Two of those funds will continue to be watched, but </w:t>
      </w:r>
      <w:proofErr w:type="spellStart"/>
      <w:r w:rsidRPr="006B5D3C">
        <w:rPr>
          <w:rFonts w:cstheme="minorHAnsi"/>
        </w:rPr>
        <w:t>Clearbright</w:t>
      </w:r>
      <w:proofErr w:type="spellEnd"/>
      <w:r w:rsidRPr="006B5D3C">
        <w:rPr>
          <w:rFonts w:cstheme="minorHAnsi"/>
        </w:rPr>
        <w:t xml:space="preserve"> Total Return was considered for replacement and </w:t>
      </w:r>
      <w:proofErr w:type="spellStart"/>
      <w:r w:rsidRPr="006B5D3C">
        <w:rPr>
          <w:rFonts w:cstheme="minorHAnsi"/>
        </w:rPr>
        <w:t>WhiteRock</w:t>
      </w:r>
      <w:proofErr w:type="spellEnd"/>
      <w:r w:rsidRPr="006B5D3C">
        <w:rPr>
          <w:rFonts w:cstheme="minorHAnsi"/>
        </w:rPr>
        <w:t xml:space="preserve"> Total Return was selected.  Key Core Bond and Asset Core Plus Bond were also considered as part of this search.</w:t>
      </w:r>
    </w:p>
    <w:p w:rsidR="006B5D3C" w:rsidRPr="006B5D3C" w:rsidRDefault="006B5D3C" w:rsidP="006B5D3C">
      <w:pPr>
        <w:pStyle w:val="ListParagraph"/>
        <w:numPr>
          <w:ilvl w:val="0"/>
          <w:numId w:val="30"/>
        </w:numPr>
        <w:spacing w:after="150"/>
        <w:rPr>
          <w:rFonts w:cstheme="minorHAnsi"/>
        </w:rPr>
      </w:pPr>
      <w:r w:rsidRPr="006B5D3C">
        <w:rPr>
          <w:rFonts w:cstheme="minorHAnsi"/>
        </w:rPr>
        <w:t>Discussed ways to increase employee engagement and participation in the 401k plan.</w:t>
      </w:r>
    </w:p>
    <w:p w:rsidR="006B5D3C" w:rsidRPr="006B5D3C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>Follow Up:</w:t>
      </w:r>
    </w:p>
    <w:p w:rsidR="006B5D3C" w:rsidRDefault="006B5D3C" w:rsidP="006B5D3C">
      <w:pPr>
        <w:pStyle w:val="ListParagraph"/>
        <w:numPr>
          <w:ilvl w:val="0"/>
          <w:numId w:val="31"/>
        </w:numPr>
        <w:spacing w:after="150"/>
        <w:rPr>
          <w:rFonts w:cstheme="minorHAnsi"/>
        </w:rPr>
      </w:pPr>
      <w:r w:rsidRPr="006B5D3C">
        <w:rPr>
          <w:rFonts w:cstheme="minorHAnsi"/>
        </w:rPr>
        <w:t>Dave to schedule meeting with HR to formalize a set of lunch and learns around the 401k plan.</w:t>
      </w:r>
    </w:p>
    <w:p w:rsidR="006B5D3C" w:rsidRPr="006B5D3C" w:rsidRDefault="006B5D3C" w:rsidP="006B5D3C">
      <w:pPr>
        <w:pStyle w:val="ListParagraph"/>
        <w:numPr>
          <w:ilvl w:val="0"/>
          <w:numId w:val="31"/>
        </w:numPr>
        <w:spacing w:after="150"/>
        <w:rPr>
          <w:rFonts w:cstheme="minorHAnsi"/>
        </w:rPr>
      </w:pPr>
      <w:r w:rsidRPr="006B5D3C">
        <w:rPr>
          <w:rFonts w:cstheme="minorHAnsi"/>
        </w:rPr>
        <w:t xml:space="preserve">M&amp;D Advisors to work with our recordkeeper to execute the Intermediate-term bond change from </w:t>
      </w:r>
      <w:proofErr w:type="spellStart"/>
      <w:r w:rsidRPr="006B5D3C">
        <w:rPr>
          <w:rFonts w:cstheme="minorHAnsi"/>
        </w:rPr>
        <w:t>Clearbright</w:t>
      </w:r>
      <w:proofErr w:type="spellEnd"/>
      <w:r w:rsidRPr="006B5D3C">
        <w:rPr>
          <w:rFonts w:cstheme="minorHAnsi"/>
        </w:rPr>
        <w:t xml:space="preserve"> to </w:t>
      </w:r>
      <w:proofErr w:type="spellStart"/>
      <w:r w:rsidRPr="006B5D3C">
        <w:rPr>
          <w:rFonts w:cstheme="minorHAnsi"/>
        </w:rPr>
        <w:t>WhiteRock</w:t>
      </w:r>
      <w:proofErr w:type="spellEnd"/>
      <w:r w:rsidRPr="006B5D3C">
        <w:rPr>
          <w:rFonts w:cstheme="minorHAnsi"/>
        </w:rPr>
        <w:t>.</w:t>
      </w:r>
    </w:p>
    <w:p w:rsidR="006B5D3C" w:rsidRPr="006B5D3C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>Materials Reviewed:</w:t>
      </w:r>
    </w:p>
    <w:p w:rsidR="006B5D3C" w:rsidRDefault="006B5D3C" w:rsidP="006B5D3C">
      <w:pPr>
        <w:pStyle w:val="ListParagraph"/>
        <w:numPr>
          <w:ilvl w:val="0"/>
          <w:numId w:val="32"/>
        </w:numPr>
        <w:spacing w:after="150"/>
        <w:rPr>
          <w:rFonts w:cstheme="minorHAnsi"/>
        </w:rPr>
      </w:pPr>
      <w:r w:rsidRPr="006B5D3C">
        <w:rPr>
          <w:rFonts w:cstheme="minorHAnsi"/>
        </w:rPr>
        <w:t>Fi360 monitoring report </w:t>
      </w:r>
    </w:p>
    <w:p w:rsidR="006B5D3C" w:rsidRPr="006B5D3C" w:rsidRDefault="006B5D3C" w:rsidP="006B5D3C">
      <w:pPr>
        <w:pStyle w:val="ListParagraph"/>
        <w:numPr>
          <w:ilvl w:val="0"/>
          <w:numId w:val="32"/>
        </w:numPr>
        <w:spacing w:after="150"/>
        <w:rPr>
          <w:rFonts w:cstheme="minorHAnsi"/>
        </w:rPr>
      </w:pPr>
      <w:r w:rsidRPr="006B5D3C">
        <w:rPr>
          <w:rFonts w:cstheme="minorHAnsi"/>
        </w:rPr>
        <w:t>Investment comparison report for Total Return Bond replacement</w:t>
      </w:r>
    </w:p>
    <w:p w:rsidR="006B5D3C" w:rsidRPr="006B5D3C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>Decisions voted upon:  </w:t>
      </w:r>
    </w:p>
    <w:p w:rsidR="00CC0E99" w:rsidRPr="00CC0E99" w:rsidRDefault="00CC0E99" w:rsidP="00CC0E99">
      <w:pPr>
        <w:pStyle w:val="ListParagraph"/>
        <w:numPr>
          <w:ilvl w:val="0"/>
          <w:numId w:val="34"/>
        </w:numPr>
        <w:rPr>
          <w:rFonts w:cstheme="minorHAnsi"/>
          <w:b/>
          <w:bCs/>
          <w:bdr w:val="none" w:sz="0" w:space="0" w:color="auto" w:frame="1"/>
        </w:rPr>
      </w:pPr>
      <w:r w:rsidRPr="00CC0E99">
        <w:rPr>
          <w:rFonts w:cstheme="minorHAnsi"/>
        </w:rPr>
        <w:t>Total Return Bond replacement</w:t>
      </w:r>
      <w:r w:rsidRPr="00CC0E99">
        <w:rPr>
          <w:rFonts w:cstheme="minorHAnsi"/>
          <w:b/>
          <w:bCs/>
          <w:bdr w:val="none" w:sz="0" w:space="0" w:color="auto" w:frame="1"/>
        </w:rPr>
        <w:t xml:space="preserve"> </w:t>
      </w:r>
    </w:p>
    <w:p w:rsidR="00CC0E99" w:rsidRDefault="00CC0E99" w:rsidP="006B5D3C">
      <w:pPr>
        <w:rPr>
          <w:rFonts w:cstheme="minorHAnsi"/>
          <w:b/>
          <w:bCs/>
          <w:bdr w:val="none" w:sz="0" w:space="0" w:color="auto" w:frame="1"/>
        </w:rPr>
      </w:pPr>
    </w:p>
    <w:p w:rsidR="00CC0E99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>Submitted by:</w:t>
      </w:r>
      <w:r w:rsidRPr="006B5D3C">
        <w:rPr>
          <w:rFonts w:cstheme="minorHAnsi"/>
        </w:rPr>
        <w:t xml:space="preserve"> Dave Stepper (secretary)</w:t>
      </w:r>
    </w:p>
    <w:p w:rsidR="006B5D3C" w:rsidRPr="006B5D3C" w:rsidRDefault="006B5D3C" w:rsidP="006B5D3C">
      <w:pPr>
        <w:rPr>
          <w:rFonts w:cstheme="minorHAnsi"/>
        </w:rPr>
      </w:pPr>
      <w:r w:rsidRPr="006B5D3C">
        <w:rPr>
          <w:rFonts w:cstheme="minorHAnsi"/>
          <w:b/>
          <w:bCs/>
          <w:bdr w:val="none" w:sz="0" w:space="0" w:color="auto" w:frame="1"/>
        </w:rPr>
        <w:t xml:space="preserve">Approved by: </w:t>
      </w:r>
      <w:r w:rsidRPr="006B5D3C">
        <w:rPr>
          <w:rFonts w:cstheme="minorHAnsi"/>
          <w:bdr w:val="none" w:sz="0" w:space="0" w:color="auto" w:frame="1"/>
        </w:rPr>
        <w:t>Rich Smith (chairman)</w:t>
      </w:r>
      <w:r w:rsidRPr="006B5D3C">
        <w:rPr>
          <w:rFonts w:cstheme="minorHAnsi"/>
        </w:rPr>
        <w:t>             </w:t>
      </w:r>
    </w:p>
    <w:p w:rsidR="006B5D3C" w:rsidRPr="006B5D3C" w:rsidRDefault="006B5D3C">
      <w:pPr>
        <w:rPr>
          <w:rFonts w:eastAsiaTheme="majorEastAsia" w:cstheme="minorHAnsi"/>
        </w:rPr>
      </w:pPr>
      <w:r w:rsidRPr="006B5D3C">
        <w:rPr>
          <w:rFonts w:cstheme="minorHAnsi"/>
        </w:rPr>
        <w:br w:type="page"/>
      </w:r>
    </w:p>
    <w:p w:rsidR="00A9204E" w:rsidRPr="006B5D3C" w:rsidRDefault="00BB0BE2" w:rsidP="006B5D3C">
      <w:pPr>
        <w:pStyle w:val="Heading1"/>
      </w:pPr>
      <w:r w:rsidRPr="006B5D3C">
        <w:lastRenderedPageBreak/>
        <w:t xml:space="preserve">Sample </w:t>
      </w:r>
      <w:r w:rsidR="00E838BA" w:rsidRPr="006B5D3C">
        <w:t>Attendee Sheet</w:t>
      </w:r>
    </w:p>
    <w:p w:rsidR="00E838BA" w:rsidRPr="006B5D3C" w:rsidRDefault="00E838BA" w:rsidP="00E838BA">
      <w:pPr>
        <w:rPr>
          <w:rFonts w:cstheme="minorHAnsi"/>
        </w:rPr>
      </w:pPr>
    </w:p>
    <w:p w:rsidR="00E838BA" w:rsidRPr="006B5D3C" w:rsidRDefault="00E838BA" w:rsidP="00E838BA">
      <w:pPr>
        <w:rPr>
          <w:rFonts w:cstheme="minorHAnsi"/>
          <w:u w:val="single"/>
        </w:rPr>
      </w:pPr>
      <w:r w:rsidRPr="006B5D3C">
        <w:rPr>
          <w:rFonts w:cstheme="minorHAnsi"/>
          <w:b/>
        </w:rPr>
        <w:t>Date</w:t>
      </w:r>
      <w:r w:rsidRPr="006B5D3C">
        <w:rPr>
          <w:rFonts w:cstheme="minorHAnsi"/>
        </w:rPr>
        <w:t xml:space="preserve">: </w:t>
      </w:r>
      <w:r w:rsidR="006B5D3C">
        <w:rPr>
          <w:rFonts w:cstheme="minorHAnsi"/>
        </w:rPr>
        <w:t>July 10, 2017</w:t>
      </w:r>
    </w:p>
    <w:p w:rsidR="00E838BA" w:rsidRPr="006B5D3C" w:rsidRDefault="00E838BA" w:rsidP="00E838BA">
      <w:pPr>
        <w:rPr>
          <w:rFonts w:cstheme="minorHAnsi"/>
          <w:b/>
        </w:rPr>
      </w:pPr>
      <w:r w:rsidRPr="006B5D3C">
        <w:rPr>
          <w:rFonts w:cstheme="minorHAnsi"/>
          <w:b/>
        </w:rPr>
        <w:t xml:space="preserve">Client name: </w:t>
      </w:r>
      <w:r w:rsidRPr="006B5D3C">
        <w:rPr>
          <w:rFonts w:cstheme="minorHAnsi"/>
        </w:rPr>
        <w:t xml:space="preserve">Top </w:t>
      </w:r>
      <w:r w:rsidR="0060705B" w:rsidRPr="006B5D3C">
        <w:rPr>
          <w:rFonts w:cstheme="minorHAnsi"/>
        </w:rPr>
        <w:t>L</w:t>
      </w:r>
      <w:r w:rsidRPr="006B5D3C">
        <w:rPr>
          <w:rFonts w:cstheme="minorHAnsi"/>
        </w:rPr>
        <w:t>ine Ford Auto, Inc.</w:t>
      </w:r>
    </w:p>
    <w:p w:rsidR="00E838BA" w:rsidRPr="006B5D3C" w:rsidRDefault="00E838BA" w:rsidP="00E838BA">
      <w:pPr>
        <w:rPr>
          <w:rFonts w:cstheme="minorHAnsi"/>
        </w:rPr>
      </w:pPr>
      <w:r w:rsidRPr="006B5D3C">
        <w:rPr>
          <w:rFonts w:cstheme="minorHAnsi"/>
          <w:b/>
        </w:rPr>
        <w:t>Meeting:</w:t>
      </w:r>
      <w:r w:rsidRPr="006B5D3C">
        <w:rPr>
          <w:rFonts w:cstheme="minorHAnsi"/>
        </w:rPr>
        <w:t xml:space="preserve"> Q4 2017 Investment Committee Review Meeting</w:t>
      </w:r>
      <w:r w:rsidRPr="006B5D3C">
        <w:rPr>
          <w:rFonts w:cstheme="minorHAnsi"/>
        </w:rPr>
        <w:tab/>
      </w:r>
      <w:r w:rsidRPr="006B5D3C">
        <w:rPr>
          <w:rFonts w:cstheme="minorHAnsi"/>
        </w:rPr>
        <w:tab/>
      </w:r>
    </w:p>
    <w:p w:rsidR="00E838BA" w:rsidRPr="006B5D3C" w:rsidRDefault="00E838BA" w:rsidP="00E838BA">
      <w:pPr>
        <w:rPr>
          <w:rFonts w:cstheme="minorHAnsi"/>
        </w:rPr>
      </w:pPr>
    </w:p>
    <w:p w:rsidR="00E838BA" w:rsidRPr="006B5D3C" w:rsidRDefault="00E838BA" w:rsidP="00E838BA">
      <w:pPr>
        <w:rPr>
          <w:rFonts w:cstheme="minorHAnsi"/>
        </w:rPr>
      </w:pPr>
      <w:r w:rsidRPr="006B5D3C">
        <w:rPr>
          <w:rFonts w:cstheme="minorHAnsi"/>
        </w:rPr>
        <w:t xml:space="preserve">By signing this attendee sheet, you affirm that you have participated in the stated meeting and received and reviewed the materials presented to you. </w:t>
      </w:r>
      <w:r w:rsidR="0014298A" w:rsidRPr="006B5D3C">
        <w:rPr>
          <w:rFonts w:cstheme="minorHAnsi"/>
        </w:rPr>
        <w:t xml:space="preserve">  Meeting minutes will be captured, acted upon and then rev</w:t>
      </w:r>
      <w:r w:rsidR="008F25E8">
        <w:rPr>
          <w:rFonts w:cstheme="minorHAnsi"/>
        </w:rPr>
        <w:t>iewed as part of the next review meeting</w:t>
      </w:r>
      <w:r w:rsidR="0014298A" w:rsidRPr="006B5D3C">
        <w:rPr>
          <w:rFonts w:cstheme="minorHAnsi"/>
        </w:rPr>
        <w:t>.</w:t>
      </w:r>
    </w:p>
    <w:p w:rsidR="00E838BA" w:rsidRPr="006B5D3C" w:rsidRDefault="00E838BA" w:rsidP="00E838BA">
      <w:pPr>
        <w:rPr>
          <w:rFonts w:cstheme="minorHAnsi"/>
          <w:u w:val="single"/>
        </w:rPr>
      </w:pPr>
      <w:r w:rsidRPr="006B5D3C">
        <w:rPr>
          <w:rFonts w:cstheme="minorHAnsi"/>
        </w:rPr>
        <w:tab/>
      </w:r>
    </w:p>
    <w:p w:rsidR="00E838BA" w:rsidRPr="006B5D3C" w:rsidRDefault="00DC4C3C" w:rsidP="00E838BA">
      <w:pPr>
        <w:rPr>
          <w:rFonts w:cstheme="minorHAnsi"/>
          <w:b/>
        </w:rPr>
      </w:pPr>
      <w:r w:rsidRPr="006B5D3C">
        <w:rPr>
          <w:rFonts w:cstheme="minorHAnsi"/>
          <w:b/>
        </w:rPr>
        <w:t>Client/Committee Members</w:t>
      </w:r>
    </w:p>
    <w:p w:rsidR="00DC4C3C" w:rsidRPr="006B5D3C" w:rsidRDefault="00DC4C3C" w:rsidP="00E838BA">
      <w:pPr>
        <w:rPr>
          <w:rFonts w:cstheme="minorHAnsi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6B5D3C" w:rsidRPr="006B5D3C" w:rsidTr="00E838BA">
        <w:tc>
          <w:tcPr>
            <w:tcW w:w="4675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  <w:r w:rsidRPr="006B5D3C">
              <w:rPr>
                <w:rFonts w:cstheme="minorHAnsi"/>
              </w:rPr>
              <w:t>Print Name</w:t>
            </w:r>
          </w:p>
        </w:tc>
        <w:tc>
          <w:tcPr>
            <w:tcW w:w="4860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  <w:r w:rsidRPr="006B5D3C">
              <w:rPr>
                <w:rFonts w:cstheme="minorHAnsi"/>
              </w:rPr>
              <w:t>Signature</w:t>
            </w:r>
          </w:p>
        </w:tc>
      </w:tr>
      <w:tr w:rsidR="006B5D3C" w:rsidRPr="006B5D3C" w:rsidTr="00E838BA">
        <w:trPr>
          <w:trHeight w:val="864"/>
        </w:trPr>
        <w:tc>
          <w:tcPr>
            <w:tcW w:w="4675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</w:tr>
      <w:tr w:rsidR="006B5D3C" w:rsidRPr="006B5D3C" w:rsidTr="00E838BA">
        <w:trPr>
          <w:trHeight w:val="864"/>
        </w:trPr>
        <w:tc>
          <w:tcPr>
            <w:tcW w:w="4675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</w:tr>
      <w:tr w:rsidR="006B5D3C" w:rsidRPr="006B5D3C" w:rsidTr="00E838BA">
        <w:trPr>
          <w:trHeight w:val="864"/>
        </w:trPr>
        <w:tc>
          <w:tcPr>
            <w:tcW w:w="4675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</w:tr>
      <w:tr w:rsidR="006B5D3C" w:rsidRPr="006B5D3C" w:rsidTr="00E838BA">
        <w:trPr>
          <w:trHeight w:val="864"/>
        </w:trPr>
        <w:tc>
          <w:tcPr>
            <w:tcW w:w="4675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</w:tr>
      <w:tr w:rsidR="006B5D3C" w:rsidRPr="006B5D3C" w:rsidTr="00E838BA">
        <w:trPr>
          <w:trHeight w:val="864"/>
        </w:trPr>
        <w:tc>
          <w:tcPr>
            <w:tcW w:w="4675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E838BA" w:rsidRPr="006B5D3C" w:rsidRDefault="00E838BA" w:rsidP="00E838BA">
            <w:pPr>
              <w:rPr>
                <w:rFonts w:cstheme="minorHAnsi"/>
              </w:rPr>
            </w:pPr>
          </w:p>
        </w:tc>
      </w:tr>
    </w:tbl>
    <w:p w:rsidR="00E838BA" w:rsidRPr="006B5D3C" w:rsidRDefault="00E838BA" w:rsidP="00E838BA">
      <w:pPr>
        <w:rPr>
          <w:rFonts w:cstheme="minorHAnsi"/>
        </w:rPr>
      </w:pPr>
    </w:p>
    <w:p w:rsidR="00DC4C3C" w:rsidRPr="006B5D3C" w:rsidRDefault="00DC4C3C" w:rsidP="00DC4C3C">
      <w:pPr>
        <w:rPr>
          <w:rFonts w:cstheme="minorHAnsi"/>
          <w:b/>
        </w:rPr>
      </w:pPr>
      <w:r w:rsidRPr="006B5D3C">
        <w:rPr>
          <w:rFonts w:cstheme="minorHAnsi"/>
          <w:b/>
        </w:rPr>
        <w:t>M&amp;D Advisors/Other professional attendees</w:t>
      </w:r>
    </w:p>
    <w:p w:rsidR="00DC4C3C" w:rsidRPr="006B5D3C" w:rsidRDefault="00DC4C3C" w:rsidP="00DC4C3C">
      <w:pPr>
        <w:rPr>
          <w:rFonts w:cstheme="minorHAnsi"/>
          <w:u w:val="singl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6B5D3C" w:rsidRPr="006B5D3C" w:rsidTr="00123103">
        <w:tc>
          <w:tcPr>
            <w:tcW w:w="4675" w:type="dxa"/>
          </w:tcPr>
          <w:p w:rsidR="00DC4C3C" w:rsidRPr="006B5D3C" w:rsidRDefault="00DC4C3C" w:rsidP="00123103">
            <w:pPr>
              <w:rPr>
                <w:rFonts w:cstheme="minorHAnsi"/>
              </w:rPr>
            </w:pPr>
            <w:r w:rsidRPr="006B5D3C">
              <w:rPr>
                <w:rFonts w:cstheme="minorHAnsi"/>
              </w:rPr>
              <w:t>Print Name &amp; Company</w:t>
            </w:r>
          </w:p>
        </w:tc>
        <w:tc>
          <w:tcPr>
            <w:tcW w:w="4860" w:type="dxa"/>
          </w:tcPr>
          <w:p w:rsidR="00DC4C3C" w:rsidRPr="006B5D3C" w:rsidRDefault="00DC4C3C" w:rsidP="00123103">
            <w:pPr>
              <w:rPr>
                <w:rFonts w:cstheme="minorHAnsi"/>
              </w:rPr>
            </w:pPr>
            <w:r w:rsidRPr="006B5D3C">
              <w:rPr>
                <w:rFonts w:cstheme="minorHAnsi"/>
              </w:rPr>
              <w:t>Signature</w:t>
            </w:r>
          </w:p>
        </w:tc>
      </w:tr>
      <w:tr w:rsidR="006B5D3C" w:rsidRPr="006B5D3C" w:rsidTr="00123103">
        <w:trPr>
          <w:trHeight w:val="864"/>
        </w:trPr>
        <w:tc>
          <w:tcPr>
            <w:tcW w:w="4675" w:type="dxa"/>
          </w:tcPr>
          <w:p w:rsidR="00DC4C3C" w:rsidRPr="006B5D3C" w:rsidRDefault="00DC4C3C" w:rsidP="00123103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DC4C3C" w:rsidRPr="006B5D3C" w:rsidRDefault="00DC4C3C" w:rsidP="00123103">
            <w:pPr>
              <w:rPr>
                <w:rFonts w:cstheme="minorHAnsi"/>
              </w:rPr>
            </w:pPr>
          </w:p>
        </w:tc>
      </w:tr>
      <w:tr w:rsidR="006B5D3C" w:rsidRPr="006B5D3C" w:rsidTr="00123103">
        <w:trPr>
          <w:trHeight w:val="864"/>
        </w:trPr>
        <w:tc>
          <w:tcPr>
            <w:tcW w:w="4675" w:type="dxa"/>
          </w:tcPr>
          <w:p w:rsidR="00DC4C3C" w:rsidRPr="006B5D3C" w:rsidRDefault="00DC4C3C" w:rsidP="00123103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DC4C3C" w:rsidRPr="006B5D3C" w:rsidRDefault="00DC4C3C" w:rsidP="00123103">
            <w:pPr>
              <w:rPr>
                <w:rFonts w:cstheme="minorHAnsi"/>
              </w:rPr>
            </w:pPr>
          </w:p>
        </w:tc>
      </w:tr>
      <w:tr w:rsidR="006B5D3C" w:rsidRPr="006B5D3C" w:rsidTr="00123103">
        <w:trPr>
          <w:trHeight w:val="864"/>
        </w:trPr>
        <w:tc>
          <w:tcPr>
            <w:tcW w:w="4675" w:type="dxa"/>
          </w:tcPr>
          <w:p w:rsidR="00DC4C3C" w:rsidRPr="006B5D3C" w:rsidRDefault="00DC4C3C" w:rsidP="00123103">
            <w:pPr>
              <w:rPr>
                <w:rFonts w:cstheme="minorHAnsi"/>
              </w:rPr>
            </w:pPr>
          </w:p>
        </w:tc>
        <w:tc>
          <w:tcPr>
            <w:tcW w:w="4860" w:type="dxa"/>
          </w:tcPr>
          <w:p w:rsidR="00DC4C3C" w:rsidRPr="006B5D3C" w:rsidRDefault="00DC4C3C" w:rsidP="00123103">
            <w:pPr>
              <w:rPr>
                <w:rFonts w:cstheme="minorHAnsi"/>
              </w:rPr>
            </w:pPr>
          </w:p>
        </w:tc>
      </w:tr>
    </w:tbl>
    <w:p w:rsidR="00DC4C3C" w:rsidRPr="006B5D3C" w:rsidRDefault="00DC4C3C" w:rsidP="00DC4C3C">
      <w:pPr>
        <w:rPr>
          <w:rFonts w:cstheme="minorHAnsi"/>
        </w:rPr>
      </w:pPr>
    </w:p>
    <w:sectPr w:rsidR="00DC4C3C" w:rsidRPr="006B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709E"/>
    <w:multiLevelType w:val="hybridMultilevel"/>
    <w:tmpl w:val="367A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553F85"/>
    <w:multiLevelType w:val="hybridMultilevel"/>
    <w:tmpl w:val="2A66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C23D0"/>
    <w:multiLevelType w:val="multilevel"/>
    <w:tmpl w:val="33E4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B45082"/>
    <w:multiLevelType w:val="hybridMultilevel"/>
    <w:tmpl w:val="98FE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522E66"/>
    <w:multiLevelType w:val="hybridMultilevel"/>
    <w:tmpl w:val="8CEC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5CF4E6C"/>
    <w:multiLevelType w:val="multilevel"/>
    <w:tmpl w:val="B4FCB8C4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6292527"/>
    <w:multiLevelType w:val="hybridMultilevel"/>
    <w:tmpl w:val="1086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3FC0509"/>
    <w:multiLevelType w:val="multilevel"/>
    <w:tmpl w:val="B58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1A817DF"/>
    <w:multiLevelType w:val="multilevel"/>
    <w:tmpl w:val="0A9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8B5EE8"/>
    <w:multiLevelType w:val="hybridMultilevel"/>
    <w:tmpl w:val="5B92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9C6A5B"/>
    <w:multiLevelType w:val="hybridMultilevel"/>
    <w:tmpl w:val="EA82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BA84B51"/>
    <w:multiLevelType w:val="multilevel"/>
    <w:tmpl w:val="73F0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5"/>
  </w:num>
  <w:num w:numId="3">
    <w:abstractNumId w:val="11"/>
  </w:num>
  <w:num w:numId="4">
    <w:abstractNumId w:val="33"/>
  </w:num>
  <w:num w:numId="5">
    <w:abstractNumId w:val="18"/>
  </w:num>
  <w:num w:numId="6">
    <w:abstractNumId w:val="24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1"/>
  </w:num>
  <w:num w:numId="21">
    <w:abstractNumId w:val="27"/>
  </w:num>
  <w:num w:numId="22">
    <w:abstractNumId w:val="14"/>
  </w:num>
  <w:num w:numId="23">
    <w:abstractNumId w:val="34"/>
  </w:num>
  <w:num w:numId="24">
    <w:abstractNumId w:val="19"/>
  </w:num>
  <w:num w:numId="25">
    <w:abstractNumId w:val="32"/>
  </w:num>
  <w:num w:numId="26">
    <w:abstractNumId w:val="23"/>
  </w:num>
  <w:num w:numId="27">
    <w:abstractNumId w:val="25"/>
  </w:num>
  <w:num w:numId="28">
    <w:abstractNumId w:val="13"/>
  </w:num>
  <w:num w:numId="29">
    <w:abstractNumId w:val="28"/>
  </w:num>
  <w:num w:numId="30">
    <w:abstractNumId w:val="10"/>
  </w:num>
  <w:num w:numId="31">
    <w:abstractNumId w:val="20"/>
  </w:num>
  <w:num w:numId="32">
    <w:abstractNumId w:val="17"/>
  </w:num>
  <w:num w:numId="33">
    <w:abstractNumId w:val="12"/>
  </w:num>
  <w:num w:numId="34">
    <w:abstractNumId w:val="2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A"/>
    <w:rsid w:val="0014298A"/>
    <w:rsid w:val="00201EBE"/>
    <w:rsid w:val="00276EE5"/>
    <w:rsid w:val="0060705B"/>
    <w:rsid w:val="00645252"/>
    <w:rsid w:val="006B5D3C"/>
    <w:rsid w:val="006D3D74"/>
    <w:rsid w:val="008F25E8"/>
    <w:rsid w:val="00900D75"/>
    <w:rsid w:val="00A9204E"/>
    <w:rsid w:val="00BB0BE2"/>
    <w:rsid w:val="00CC0E99"/>
    <w:rsid w:val="00DC4C3C"/>
    <w:rsid w:val="00DD279A"/>
    <w:rsid w:val="00E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EF358-E612-4FFB-B4F7-554233CC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E83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6B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.palasca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Palascak</dc:creator>
  <cp:keywords/>
  <dc:description/>
  <cp:lastModifiedBy>Tyler Kirkland</cp:lastModifiedBy>
  <cp:revision>2</cp:revision>
  <dcterms:created xsi:type="dcterms:W3CDTF">2017-07-25T12:58:00Z</dcterms:created>
  <dcterms:modified xsi:type="dcterms:W3CDTF">2017-07-25T12:58:00Z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