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3257" w14:textId="77777777" w:rsidR="00B976D4" w:rsidRDefault="00B976D4" w:rsidP="00B976D4"/>
    <w:p w14:paraId="3E5D372A" w14:textId="33673B4A" w:rsidR="00347204" w:rsidRDefault="00632A4E" w:rsidP="00C21C17">
      <w:pPr>
        <w:pStyle w:val="Heading1"/>
        <w:spacing w:after="120"/>
      </w:pPr>
      <w:r>
        <w:t>Policy Accommodation Form</w:t>
      </w:r>
      <w:r w:rsidR="00D700D3">
        <w:t xml:space="preserve">: </w:t>
      </w:r>
      <w:r w:rsidR="00CF7EF1">
        <w:t>ADA Request</w:t>
      </w:r>
    </w:p>
    <w:p w14:paraId="3EA27D87" w14:textId="645F73AB" w:rsidR="00632A4E" w:rsidRDefault="00632A4E" w:rsidP="00632A4E">
      <w:pPr>
        <w:spacing w:before="120"/>
      </w:pPr>
      <w:r>
        <w:t xml:space="preserve">Fi360 is committed to fair and uniform application of its policies and procedures to all parties. Exceptions </w:t>
      </w:r>
      <w:proofErr w:type="gramStart"/>
      <w:r>
        <w:t>are granted</w:t>
      </w:r>
      <w:proofErr w:type="gramEnd"/>
      <w:r>
        <w:t xml:space="preserve"> when justified by circumstances that can be supported with documentation and where the integrity of the designation program is not compromised.</w:t>
      </w:r>
    </w:p>
    <w:p w14:paraId="17D373C5" w14:textId="77777777" w:rsidR="00320D01" w:rsidRDefault="00632A4E" w:rsidP="00320D01">
      <w:pPr>
        <w:spacing w:before="120"/>
      </w:pPr>
      <w:r>
        <w:t xml:space="preserve">If a candidate believes any policy presents an undue hardship towards obtaining certification, a special accommodation may </w:t>
      </w:r>
      <w:proofErr w:type="gramStart"/>
      <w:r>
        <w:t>be submitted</w:t>
      </w:r>
      <w:proofErr w:type="gramEnd"/>
      <w:r>
        <w:t>.</w:t>
      </w:r>
      <w:r w:rsidR="00320D01">
        <w:t xml:space="preserve"> Examples of special accommodations include…</w:t>
      </w:r>
    </w:p>
    <w:p w14:paraId="260D188C" w14:textId="5F2A3FDD" w:rsidR="00320D01" w:rsidRPr="005974B3" w:rsidRDefault="00320D01" w:rsidP="009832CE">
      <w:pPr>
        <w:pStyle w:val="ListParagraph"/>
        <w:numPr>
          <w:ilvl w:val="0"/>
          <w:numId w:val="2"/>
        </w:numPr>
        <w:spacing w:before="120"/>
      </w:pPr>
      <w:r w:rsidRPr="005974B3">
        <w:t>Requesting an in-person exam proctor (</w:t>
      </w:r>
      <w:r w:rsidR="00D700D3" w:rsidRPr="005974B3">
        <w:rPr>
          <w:i/>
          <w:iCs/>
        </w:rPr>
        <w:t xml:space="preserve">see </w:t>
      </w:r>
      <w:r w:rsidR="001D45EC" w:rsidRPr="005974B3">
        <w:rPr>
          <w:i/>
          <w:iCs/>
        </w:rPr>
        <w:t xml:space="preserve">Fi360 </w:t>
      </w:r>
      <w:r w:rsidR="005974B3" w:rsidRPr="005974B3">
        <w:rPr>
          <w:i/>
          <w:iCs/>
        </w:rPr>
        <w:t xml:space="preserve">In-Person </w:t>
      </w:r>
      <w:r w:rsidR="001D45EC" w:rsidRPr="005974B3">
        <w:rPr>
          <w:i/>
          <w:iCs/>
        </w:rPr>
        <w:t>Proctor Request Form</w:t>
      </w:r>
      <w:r w:rsidRPr="005974B3">
        <w:t>)</w:t>
      </w:r>
    </w:p>
    <w:p w14:paraId="5F736D60" w14:textId="311EEEE0" w:rsidR="00320D01" w:rsidRPr="005872A8" w:rsidRDefault="00320D01" w:rsidP="009832CE">
      <w:pPr>
        <w:pStyle w:val="ListParagraph"/>
        <w:numPr>
          <w:ilvl w:val="0"/>
          <w:numId w:val="2"/>
        </w:numPr>
        <w:spacing w:before="120"/>
      </w:pPr>
      <w:r w:rsidRPr="005872A8">
        <w:t>Alternate experience substitution (</w:t>
      </w:r>
      <w:r w:rsidR="005872A8" w:rsidRPr="005872A8">
        <w:rPr>
          <w:i/>
          <w:iCs/>
        </w:rPr>
        <w:t>see Fi360 Experience Substitution Request Form</w:t>
      </w:r>
      <w:r w:rsidRPr="005872A8">
        <w:t>)</w:t>
      </w:r>
    </w:p>
    <w:p w14:paraId="6A37F6C1" w14:textId="79079DDA" w:rsidR="00320D01" w:rsidRPr="005872A8" w:rsidRDefault="00320D01" w:rsidP="009832CE">
      <w:pPr>
        <w:pStyle w:val="ListParagraph"/>
        <w:numPr>
          <w:ilvl w:val="0"/>
          <w:numId w:val="2"/>
        </w:numPr>
        <w:spacing w:before="120"/>
        <w:rPr>
          <w:b/>
          <w:bCs/>
        </w:rPr>
      </w:pPr>
      <w:r w:rsidRPr="005872A8">
        <w:rPr>
          <w:b/>
          <w:bCs/>
        </w:rPr>
        <w:t xml:space="preserve">Valid medical, disability, </w:t>
      </w:r>
      <w:proofErr w:type="gramStart"/>
      <w:r w:rsidRPr="005872A8">
        <w:rPr>
          <w:b/>
          <w:bCs/>
        </w:rPr>
        <w:t>ADA</w:t>
      </w:r>
      <w:proofErr w:type="gramEnd"/>
      <w:r w:rsidRPr="005872A8">
        <w:rPr>
          <w:b/>
          <w:bCs/>
        </w:rPr>
        <w:t xml:space="preserve"> or ESL requests</w:t>
      </w:r>
      <w:r w:rsidR="00D700D3" w:rsidRPr="005872A8">
        <w:rPr>
          <w:b/>
          <w:bCs/>
        </w:rPr>
        <w:t xml:space="preserve"> (</w:t>
      </w:r>
      <w:r w:rsidR="005872A8" w:rsidRPr="005872A8">
        <w:rPr>
          <w:b/>
          <w:bCs/>
          <w:i/>
          <w:iCs/>
        </w:rPr>
        <w:t>this form</w:t>
      </w:r>
      <w:r w:rsidR="00D700D3" w:rsidRPr="005872A8">
        <w:rPr>
          <w:b/>
          <w:bCs/>
        </w:rPr>
        <w:t>)</w:t>
      </w:r>
    </w:p>
    <w:p w14:paraId="3E8B5D77" w14:textId="1C7C2A39" w:rsidR="00632A4E" w:rsidRDefault="004F5350" w:rsidP="00845AB9">
      <w:pPr>
        <w:spacing w:before="120"/>
      </w:pPr>
      <w:r w:rsidRPr="004F5350">
        <w:t xml:space="preserve">Individuals with disabilities covered by the Americans with Disabilities Act must complete this form and have an appropriate licensed professional complete </w:t>
      </w:r>
      <w:r w:rsidR="00292289">
        <w:t>a</w:t>
      </w:r>
      <w:r w:rsidRPr="004F5350">
        <w:t xml:space="preserve"> </w:t>
      </w:r>
      <w:r w:rsidRPr="00292289">
        <w:rPr>
          <w:i/>
          <w:iCs/>
        </w:rPr>
        <w:t>Documentation of Disability-Related Needs Form</w:t>
      </w:r>
      <w:r w:rsidRPr="004F5350">
        <w:t xml:space="preserve"> </w:t>
      </w:r>
      <w:proofErr w:type="gramStart"/>
      <w:r w:rsidRPr="004F5350">
        <w:t>in order for</w:t>
      </w:r>
      <w:proofErr w:type="gramEnd"/>
      <w:r w:rsidRPr="004F5350">
        <w:t xml:space="preserve"> their accommodations request to be processed</w:t>
      </w:r>
      <w:r>
        <w:t>.</w:t>
      </w:r>
    </w:p>
    <w:p w14:paraId="7A9DBCA3" w14:textId="69C923BE" w:rsidR="003E5DAD" w:rsidRDefault="003E5DAD" w:rsidP="00845AB9">
      <w:pPr>
        <w:spacing w:before="120"/>
      </w:pPr>
      <w:r w:rsidRPr="003E5DAD">
        <w:t xml:space="preserve">In most cases of an accommodation </w:t>
      </w:r>
      <w:proofErr w:type="gramStart"/>
      <w:r w:rsidRPr="003E5DAD">
        <w:t>being granted</w:t>
      </w:r>
      <w:proofErr w:type="gramEnd"/>
      <w:r w:rsidRPr="003E5DAD">
        <w:t xml:space="preserve">, the candidate will be required to secure and schedule a proctor who meets the criteria for an acceptable in-person proctor. In most cases, requests for a time extension will </w:t>
      </w:r>
      <w:proofErr w:type="gramStart"/>
      <w:r w:rsidRPr="003E5DAD">
        <w:t>be limited</w:t>
      </w:r>
      <w:proofErr w:type="gramEnd"/>
      <w:r w:rsidRPr="003E5DAD">
        <w:t xml:space="preserve"> to 150 minutes.</w:t>
      </w:r>
    </w:p>
    <w:p w14:paraId="71D495DA" w14:textId="3BA4F90A" w:rsidR="00953BAE" w:rsidRDefault="00953BAE" w:rsidP="00845AB9">
      <w:pPr>
        <w:spacing w:before="120"/>
      </w:pPr>
      <w:r>
        <w:t>To request an accommodation, complete this form</w:t>
      </w:r>
      <w:r w:rsidR="00FE0AE5">
        <w:t xml:space="preserve"> and the</w:t>
      </w:r>
      <w:r w:rsidR="000B140C">
        <w:t xml:space="preserve"> signed</w:t>
      </w:r>
      <w:r w:rsidR="00FE0AE5">
        <w:t xml:space="preserve"> </w:t>
      </w:r>
      <w:r w:rsidR="00FE0AE5" w:rsidRPr="000B140C">
        <w:rPr>
          <w:i/>
          <w:iCs/>
        </w:rPr>
        <w:t>Documentation of Disability-Related Needs Form</w:t>
      </w:r>
      <w:r>
        <w:t xml:space="preserve"> and return </w:t>
      </w:r>
      <w:r w:rsidR="00FE0AE5">
        <w:t xml:space="preserve">both documents </w:t>
      </w:r>
      <w:r>
        <w:t xml:space="preserve">to </w:t>
      </w:r>
      <w:hyperlink r:id="rId8" w:history="1">
        <w:r w:rsidRPr="00E37057">
          <w:rPr>
            <w:rStyle w:val="Hyperlink"/>
          </w:rPr>
          <w:t>fi360support@broadridge.com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34320" w14:paraId="68E64BA9" w14:textId="77777777" w:rsidTr="00744625">
        <w:trPr>
          <w:trHeight w:val="576"/>
        </w:trPr>
        <w:tc>
          <w:tcPr>
            <w:tcW w:w="2875" w:type="dxa"/>
          </w:tcPr>
          <w:p w14:paraId="6AC93C6A" w14:textId="417C1504" w:rsidR="00234320" w:rsidRPr="00234320" w:rsidRDefault="00234320">
            <w:pPr>
              <w:rPr>
                <w:b/>
                <w:bCs/>
              </w:rPr>
            </w:pPr>
            <w:r w:rsidRPr="00234320">
              <w:rPr>
                <w:b/>
                <w:bCs/>
              </w:rPr>
              <w:t xml:space="preserve">Candidate </w:t>
            </w:r>
            <w:r w:rsidR="00AC741A">
              <w:rPr>
                <w:b/>
                <w:bCs/>
              </w:rPr>
              <w:t>n</w:t>
            </w:r>
            <w:r w:rsidRPr="00234320">
              <w:rPr>
                <w:b/>
                <w:bCs/>
              </w:rPr>
              <w:t>ame</w:t>
            </w:r>
          </w:p>
        </w:tc>
        <w:tc>
          <w:tcPr>
            <w:tcW w:w="6475" w:type="dxa"/>
          </w:tcPr>
          <w:p w14:paraId="451F9D67" w14:textId="77777777" w:rsidR="00234320" w:rsidRPr="00234320" w:rsidRDefault="00234320"/>
        </w:tc>
      </w:tr>
      <w:tr w:rsidR="00234320" w14:paraId="151AD50C" w14:textId="77777777" w:rsidTr="00744625">
        <w:trPr>
          <w:trHeight w:val="576"/>
        </w:trPr>
        <w:tc>
          <w:tcPr>
            <w:tcW w:w="2875" w:type="dxa"/>
          </w:tcPr>
          <w:p w14:paraId="65F18B07" w14:textId="1F70449F" w:rsidR="00234320" w:rsidRPr="00234320" w:rsidRDefault="00234320">
            <w:pPr>
              <w:rPr>
                <w:b/>
                <w:bCs/>
              </w:rPr>
            </w:pPr>
            <w:r w:rsidRPr="00234320">
              <w:rPr>
                <w:b/>
                <w:bCs/>
              </w:rPr>
              <w:t xml:space="preserve">Email </w:t>
            </w:r>
            <w:r w:rsidR="00AC741A">
              <w:rPr>
                <w:b/>
                <w:bCs/>
              </w:rPr>
              <w:t>a</w:t>
            </w:r>
            <w:r w:rsidRPr="00234320">
              <w:rPr>
                <w:b/>
                <w:bCs/>
              </w:rPr>
              <w:t>ddress</w:t>
            </w:r>
          </w:p>
        </w:tc>
        <w:tc>
          <w:tcPr>
            <w:tcW w:w="6475" w:type="dxa"/>
          </w:tcPr>
          <w:p w14:paraId="7E6F7650" w14:textId="77777777" w:rsidR="00234320" w:rsidRPr="00234320" w:rsidRDefault="00234320"/>
        </w:tc>
      </w:tr>
      <w:tr w:rsidR="00234320" w14:paraId="124EA31A" w14:textId="77777777" w:rsidTr="00C21C17">
        <w:trPr>
          <w:trHeight w:val="1709"/>
        </w:trPr>
        <w:tc>
          <w:tcPr>
            <w:tcW w:w="2875" w:type="dxa"/>
          </w:tcPr>
          <w:p w14:paraId="416BFC1C" w14:textId="32BE0DD0" w:rsidR="00234320" w:rsidRPr="00234320" w:rsidRDefault="00234320">
            <w:pPr>
              <w:rPr>
                <w:b/>
                <w:bCs/>
              </w:rPr>
            </w:pPr>
            <w:r w:rsidRPr="00234320">
              <w:rPr>
                <w:b/>
                <w:bCs/>
              </w:rPr>
              <w:t xml:space="preserve">Accommodation </w:t>
            </w:r>
            <w:r w:rsidR="00AC741A">
              <w:rPr>
                <w:b/>
                <w:bCs/>
              </w:rPr>
              <w:t>r</w:t>
            </w:r>
            <w:r w:rsidRPr="00234320">
              <w:rPr>
                <w:b/>
                <w:bCs/>
              </w:rPr>
              <w:t>equest</w:t>
            </w:r>
            <w:r>
              <w:rPr>
                <w:b/>
                <w:bCs/>
              </w:rPr>
              <w:t>ed</w:t>
            </w:r>
          </w:p>
        </w:tc>
        <w:tc>
          <w:tcPr>
            <w:tcW w:w="6475" w:type="dxa"/>
          </w:tcPr>
          <w:p w14:paraId="66B39456" w14:textId="5717B9ED" w:rsidR="00234320" w:rsidRPr="001D5072" w:rsidRDefault="00234320"/>
        </w:tc>
      </w:tr>
      <w:tr w:rsidR="00AC741A" w14:paraId="27DB9BC9" w14:textId="77777777" w:rsidTr="00744625">
        <w:trPr>
          <w:trHeight w:val="576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783247ED" w14:textId="536BD955" w:rsidR="00AC741A" w:rsidRDefault="002C3AC4" w:rsidP="00744625">
            <w:pPr>
              <w:rPr>
                <w:b/>
                <w:bCs/>
              </w:rPr>
            </w:pPr>
            <w:r>
              <w:rPr>
                <w:b/>
                <w:bCs/>
              </w:rPr>
              <w:t>Documentation of the circumstance(s) justifying the accommodation.</w:t>
            </w:r>
          </w:p>
        </w:tc>
        <w:tc>
          <w:tcPr>
            <w:tcW w:w="6475" w:type="dxa"/>
            <w:shd w:val="clear" w:color="auto" w:fill="D9D9D9" w:themeFill="background1" w:themeFillShade="D9"/>
            <w:vAlign w:val="center"/>
          </w:tcPr>
          <w:p w14:paraId="3BFE5A51" w14:textId="78058573" w:rsidR="002C3AC4" w:rsidRPr="000A4189" w:rsidRDefault="002C3AC4" w:rsidP="00744625">
            <w:pPr>
              <w:jc w:val="center"/>
              <w:rPr>
                <w:b/>
                <w:bCs/>
              </w:rPr>
            </w:pPr>
            <w:r w:rsidRPr="002C3AC4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Ensure to </w:t>
            </w:r>
            <w:r w:rsidRPr="002C3AC4">
              <w:rPr>
                <w:b/>
                <w:bCs/>
              </w:rPr>
              <w:t xml:space="preserve">attach </w:t>
            </w:r>
            <w:r w:rsidR="00292289">
              <w:rPr>
                <w:b/>
                <w:bCs/>
              </w:rPr>
              <w:t>a</w:t>
            </w:r>
            <w:r w:rsidR="000A4189" w:rsidRPr="000A4189">
              <w:rPr>
                <w:b/>
                <w:bCs/>
              </w:rPr>
              <w:t xml:space="preserve"> </w:t>
            </w:r>
            <w:r w:rsidR="000A4189" w:rsidRPr="000A4189">
              <w:rPr>
                <w:b/>
                <w:bCs/>
                <w:i/>
                <w:iCs/>
              </w:rPr>
              <w:t>Documentation of Disability-Related Needs</w:t>
            </w:r>
            <w:r w:rsidR="000B140C">
              <w:rPr>
                <w:b/>
                <w:bCs/>
                <w:i/>
                <w:iCs/>
              </w:rPr>
              <w:t xml:space="preserve"> </w:t>
            </w:r>
            <w:r w:rsidR="000A4189" w:rsidRPr="000A4189">
              <w:rPr>
                <w:b/>
                <w:bCs/>
                <w:i/>
                <w:iCs/>
              </w:rPr>
              <w:t>Form</w:t>
            </w:r>
            <w:r w:rsidR="000A4189">
              <w:rPr>
                <w:b/>
                <w:bCs/>
              </w:rPr>
              <w:t xml:space="preserve"> that </w:t>
            </w:r>
            <w:proofErr w:type="gramStart"/>
            <w:r w:rsidR="000A4189">
              <w:rPr>
                <w:b/>
                <w:bCs/>
              </w:rPr>
              <w:t>is completed</w:t>
            </w:r>
            <w:proofErr w:type="gramEnd"/>
            <w:r w:rsidR="000A4189">
              <w:rPr>
                <w:b/>
                <w:bCs/>
              </w:rPr>
              <w:t xml:space="preserve"> by a professional</w:t>
            </w:r>
            <w:r w:rsidRPr="002C3AC4">
              <w:rPr>
                <w:b/>
                <w:bCs/>
              </w:rPr>
              <w:t>*</w:t>
            </w:r>
          </w:p>
        </w:tc>
      </w:tr>
      <w:tr w:rsidR="00206DBE" w14:paraId="1214AF7A" w14:textId="77777777" w:rsidTr="00744625">
        <w:trPr>
          <w:trHeight w:val="576"/>
        </w:trPr>
        <w:tc>
          <w:tcPr>
            <w:tcW w:w="2875" w:type="dxa"/>
          </w:tcPr>
          <w:p w14:paraId="70CDECF7" w14:textId="28F7FFDF" w:rsidR="00206DBE" w:rsidRDefault="00206DBE" w:rsidP="00206DBE">
            <w:pPr>
              <w:rPr>
                <w:b/>
                <w:bCs/>
              </w:rPr>
            </w:pPr>
            <w:r w:rsidRPr="00234320">
              <w:rPr>
                <w:b/>
                <w:bCs/>
              </w:rPr>
              <w:t>Approximate Date of Exam:</w:t>
            </w:r>
          </w:p>
        </w:tc>
        <w:tc>
          <w:tcPr>
            <w:tcW w:w="6475" w:type="dxa"/>
            <w:shd w:val="clear" w:color="auto" w:fill="auto"/>
          </w:tcPr>
          <w:p w14:paraId="2708A7A8" w14:textId="77777777" w:rsidR="00206DBE" w:rsidRPr="002C3AC4" w:rsidRDefault="00206DBE" w:rsidP="00206DBE">
            <w:pPr>
              <w:rPr>
                <w:b/>
                <w:bCs/>
              </w:rPr>
            </w:pPr>
          </w:p>
        </w:tc>
      </w:tr>
      <w:tr w:rsidR="00206DBE" w14:paraId="794479DD" w14:textId="77777777" w:rsidTr="00744625">
        <w:trPr>
          <w:trHeight w:val="576"/>
        </w:trPr>
        <w:tc>
          <w:tcPr>
            <w:tcW w:w="2875" w:type="dxa"/>
          </w:tcPr>
          <w:p w14:paraId="4D1FD4E5" w14:textId="77777777" w:rsidR="00206DBE" w:rsidRDefault="00206DBE" w:rsidP="00206DBE">
            <w:pPr>
              <w:rPr>
                <w:b/>
                <w:bCs/>
              </w:rPr>
            </w:pPr>
            <w:r w:rsidRPr="00234320">
              <w:rPr>
                <w:b/>
                <w:bCs/>
              </w:rPr>
              <w:t>Name of Proctor</w:t>
            </w:r>
          </w:p>
          <w:p w14:paraId="0CBA949B" w14:textId="59372896" w:rsidR="00206DBE" w:rsidRDefault="00206DBE" w:rsidP="00206DBE">
            <w:pPr>
              <w:rPr>
                <w:b/>
                <w:bCs/>
              </w:rPr>
            </w:pPr>
            <w:r w:rsidRPr="00B976D4">
              <w:t>(if in-person requested)</w:t>
            </w:r>
          </w:p>
        </w:tc>
        <w:tc>
          <w:tcPr>
            <w:tcW w:w="6475" w:type="dxa"/>
            <w:shd w:val="clear" w:color="auto" w:fill="auto"/>
          </w:tcPr>
          <w:p w14:paraId="6CE3C689" w14:textId="77777777" w:rsidR="00206DBE" w:rsidRPr="002C3AC4" w:rsidRDefault="00206DBE" w:rsidP="00206DBE">
            <w:pPr>
              <w:rPr>
                <w:b/>
                <w:bCs/>
              </w:rPr>
            </w:pPr>
          </w:p>
        </w:tc>
      </w:tr>
      <w:tr w:rsidR="00206DBE" w14:paraId="44EE0773" w14:textId="77777777" w:rsidTr="00744625">
        <w:trPr>
          <w:trHeight w:val="576"/>
        </w:trPr>
        <w:tc>
          <w:tcPr>
            <w:tcW w:w="2875" w:type="dxa"/>
          </w:tcPr>
          <w:p w14:paraId="341CE2B3" w14:textId="77777777" w:rsidR="00206DBE" w:rsidRDefault="00206DBE" w:rsidP="00206DBE">
            <w:r w:rsidRPr="00234320">
              <w:rPr>
                <w:b/>
                <w:bCs/>
              </w:rPr>
              <w:t>Email Address for Proctor</w:t>
            </w:r>
            <w:r w:rsidRPr="00B976D4">
              <w:t xml:space="preserve"> </w:t>
            </w:r>
          </w:p>
          <w:p w14:paraId="00CDE679" w14:textId="5331CF8F" w:rsidR="00206DBE" w:rsidRDefault="00206DBE" w:rsidP="00206DBE">
            <w:pPr>
              <w:rPr>
                <w:b/>
                <w:bCs/>
              </w:rPr>
            </w:pPr>
            <w:r w:rsidRPr="00B976D4">
              <w:t>(if in-person requested)</w:t>
            </w:r>
          </w:p>
        </w:tc>
        <w:tc>
          <w:tcPr>
            <w:tcW w:w="6475" w:type="dxa"/>
            <w:shd w:val="clear" w:color="auto" w:fill="auto"/>
          </w:tcPr>
          <w:p w14:paraId="760F52F2" w14:textId="77777777" w:rsidR="00206DBE" w:rsidRPr="002C3AC4" w:rsidRDefault="00206DBE" w:rsidP="00206DBE">
            <w:pPr>
              <w:rPr>
                <w:b/>
                <w:bCs/>
              </w:rPr>
            </w:pPr>
          </w:p>
        </w:tc>
      </w:tr>
    </w:tbl>
    <w:p w14:paraId="728DF045" w14:textId="709FBF63" w:rsidR="00AC741A" w:rsidRDefault="00AC741A" w:rsidP="00C21C17">
      <w:pPr>
        <w:spacing w:before="120"/>
      </w:pPr>
      <w:r>
        <w:t>Please allow up to ten (10) business days for a written decision from Fi360. All decisions are final.</w:t>
      </w:r>
    </w:p>
    <w:sectPr w:rsidR="00AC741A" w:rsidSect="00F47CDF">
      <w:headerReference w:type="default" r:id="rId9"/>
      <w:footerReference w:type="default" r:id="rId10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BD0D" w14:textId="77777777" w:rsidR="008E1EAB" w:rsidRDefault="008E1EAB" w:rsidP="00F47CDF">
      <w:pPr>
        <w:spacing w:after="0" w:line="240" w:lineRule="auto"/>
      </w:pPr>
      <w:r>
        <w:separator/>
      </w:r>
    </w:p>
  </w:endnote>
  <w:endnote w:type="continuationSeparator" w:id="0">
    <w:p w14:paraId="4927E0AA" w14:textId="77777777" w:rsidR="008E1EAB" w:rsidRDefault="008E1EAB" w:rsidP="00F4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487A" w14:textId="376C3788" w:rsidR="00234320" w:rsidRPr="00234320" w:rsidRDefault="00234320">
    <w:pPr>
      <w:pStyle w:val="Footer"/>
      <w:rPr>
        <w:sz w:val="18"/>
        <w:szCs w:val="18"/>
      </w:rPr>
    </w:pPr>
    <w:r w:rsidRPr="00234320">
      <w:rPr>
        <w:sz w:val="18"/>
        <w:szCs w:val="18"/>
      </w:rPr>
      <w:t>© 202</w:t>
    </w:r>
    <w:r w:rsidR="00AC741A">
      <w:rPr>
        <w:sz w:val="18"/>
        <w:szCs w:val="18"/>
      </w:rPr>
      <w:t>5</w:t>
    </w:r>
    <w:r w:rsidRPr="00234320">
      <w:rPr>
        <w:sz w:val="18"/>
        <w:szCs w:val="18"/>
      </w:rPr>
      <w:t xml:space="preserve"> Fi360, Inc. a Broadridge Company.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6857" w14:textId="77777777" w:rsidR="008E1EAB" w:rsidRDefault="008E1EAB" w:rsidP="00F47CDF">
      <w:pPr>
        <w:spacing w:after="0" w:line="240" w:lineRule="auto"/>
      </w:pPr>
      <w:r>
        <w:separator/>
      </w:r>
    </w:p>
  </w:footnote>
  <w:footnote w:type="continuationSeparator" w:id="0">
    <w:p w14:paraId="4D5673DE" w14:textId="77777777" w:rsidR="008E1EAB" w:rsidRDefault="008E1EAB" w:rsidP="00F4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E006" w14:textId="17D2BF22" w:rsidR="00F47CDF" w:rsidRDefault="00F47CDF" w:rsidP="00F47CDF">
    <w:pPr>
      <w:pStyle w:val="Header"/>
      <w:jc w:val="right"/>
    </w:pPr>
  </w:p>
  <w:p w14:paraId="440939DC" w14:textId="0AFB46CF" w:rsidR="00F47CDF" w:rsidRDefault="00B976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B4FD6D" wp14:editId="0A9DB9F0">
          <wp:simplePos x="0" y="0"/>
          <wp:positionH relativeFrom="column">
            <wp:posOffset>4495800</wp:posOffset>
          </wp:positionH>
          <wp:positionV relativeFrom="paragraph">
            <wp:posOffset>114935</wp:posOffset>
          </wp:positionV>
          <wp:extent cx="1443789" cy="914400"/>
          <wp:effectExtent l="0" t="0" r="4445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78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B26"/>
    <w:multiLevelType w:val="hybridMultilevel"/>
    <w:tmpl w:val="5148C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4B17"/>
    <w:multiLevelType w:val="hybridMultilevel"/>
    <w:tmpl w:val="EE3E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B31A7"/>
    <w:multiLevelType w:val="hybridMultilevel"/>
    <w:tmpl w:val="E4204BEA"/>
    <w:lvl w:ilvl="0" w:tplc="46883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F27BA"/>
    <w:multiLevelType w:val="hybridMultilevel"/>
    <w:tmpl w:val="69F2D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04962">
    <w:abstractNumId w:val="1"/>
  </w:num>
  <w:num w:numId="2" w16cid:durableId="1086267160">
    <w:abstractNumId w:val="2"/>
  </w:num>
  <w:num w:numId="3" w16cid:durableId="1614751462">
    <w:abstractNumId w:val="3"/>
  </w:num>
  <w:num w:numId="4" w16cid:durableId="69573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DF"/>
    <w:rsid w:val="000A4189"/>
    <w:rsid w:val="000B140C"/>
    <w:rsid w:val="000E4F0F"/>
    <w:rsid w:val="00116259"/>
    <w:rsid w:val="00170E8B"/>
    <w:rsid w:val="001D45EC"/>
    <w:rsid w:val="001D5072"/>
    <w:rsid w:val="00206DBE"/>
    <w:rsid w:val="00233B45"/>
    <w:rsid w:val="00234320"/>
    <w:rsid w:val="00290E39"/>
    <w:rsid w:val="00292289"/>
    <w:rsid w:val="002C3AC4"/>
    <w:rsid w:val="002F7FC8"/>
    <w:rsid w:val="00320D01"/>
    <w:rsid w:val="00347204"/>
    <w:rsid w:val="003746FC"/>
    <w:rsid w:val="003C2C86"/>
    <w:rsid w:val="003E5DAD"/>
    <w:rsid w:val="00444B1F"/>
    <w:rsid w:val="00451207"/>
    <w:rsid w:val="00452D9E"/>
    <w:rsid w:val="00472BEA"/>
    <w:rsid w:val="004D2A41"/>
    <w:rsid w:val="004F5350"/>
    <w:rsid w:val="00512547"/>
    <w:rsid w:val="00582AD6"/>
    <w:rsid w:val="005872A8"/>
    <w:rsid w:val="005974B3"/>
    <w:rsid w:val="005A4BBF"/>
    <w:rsid w:val="00632A4E"/>
    <w:rsid w:val="006B1A4F"/>
    <w:rsid w:val="006B2E5A"/>
    <w:rsid w:val="006C2581"/>
    <w:rsid w:val="00725A17"/>
    <w:rsid w:val="00744625"/>
    <w:rsid w:val="00775A1A"/>
    <w:rsid w:val="007A5AAF"/>
    <w:rsid w:val="007B51F4"/>
    <w:rsid w:val="008126E9"/>
    <w:rsid w:val="00845AB9"/>
    <w:rsid w:val="008E1EAB"/>
    <w:rsid w:val="0091026E"/>
    <w:rsid w:val="00934588"/>
    <w:rsid w:val="00953BAE"/>
    <w:rsid w:val="009832CE"/>
    <w:rsid w:val="009B5B08"/>
    <w:rsid w:val="009C56FB"/>
    <w:rsid w:val="00A3648F"/>
    <w:rsid w:val="00A56372"/>
    <w:rsid w:val="00AB1713"/>
    <w:rsid w:val="00AC741A"/>
    <w:rsid w:val="00B21E9F"/>
    <w:rsid w:val="00B3403F"/>
    <w:rsid w:val="00B376AD"/>
    <w:rsid w:val="00B976D4"/>
    <w:rsid w:val="00C21C17"/>
    <w:rsid w:val="00C30F30"/>
    <w:rsid w:val="00C54AEC"/>
    <w:rsid w:val="00C73BC8"/>
    <w:rsid w:val="00C81567"/>
    <w:rsid w:val="00CE2E88"/>
    <w:rsid w:val="00CE3427"/>
    <w:rsid w:val="00CF7EF1"/>
    <w:rsid w:val="00D052CC"/>
    <w:rsid w:val="00D213AF"/>
    <w:rsid w:val="00D700D3"/>
    <w:rsid w:val="00D93C61"/>
    <w:rsid w:val="00EA7FCE"/>
    <w:rsid w:val="00EC7E47"/>
    <w:rsid w:val="00F47CDF"/>
    <w:rsid w:val="00F86E00"/>
    <w:rsid w:val="00F934F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0A0A7"/>
  <w15:chartTrackingRefBased/>
  <w15:docId w15:val="{FE0CE963-7618-4752-A060-32B8BCDF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DF"/>
  </w:style>
  <w:style w:type="paragraph" w:styleId="Footer">
    <w:name w:val="footer"/>
    <w:basedOn w:val="Normal"/>
    <w:link w:val="FooterChar"/>
    <w:uiPriority w:val="99"/>
    <w:unhideWhenUsed/>
    <w:rsid w:val="00F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DF"/>
  </w:style>
  <w:style w:type="character" w:styleId="Hyperlink">
    <w:name w:val="Hyperlink"/>
    <w:basedOn w:val="DefaultParagraphFont"/>
    <w:uiPriority w:val="99"/>
    <w:unhideWhenUsed/>
    <w:rsid w:val="00AB1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71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B17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1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3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2CE"/>
    <w:pPr>
      <w:ind w:left="720"/>
      <w:contextualSpacing/>
    </w:pPr>
  </w:style>
  <w:style w:type="paragraph" w:styleId="Revision">
    <w:name w:val="Revision"/>
    <w:hidden/>
    <w:uiPriority w:val="99"/>
    <w:semiHidden/>
    <w:rsid w:val="00FE0A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4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0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360support@broadrid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36FE1-42AF-455A-8FF2-D5EA88BE51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198c8c-0642-4649-849d-daacc3298f83}" enabled="0" method="" siteId="{a3198c8c-0642-4649-849d-daacc3298f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Burt</dc:creator>
  <cp:keywords/>
  <dc:description/>
  <cp:lastModifiedBy>Burt, Matt</cp:lastModifiedBy>
  <cp:revision>7</cp:revision>
  <cp:lastPrinted>2025-02-25T14:07:00Z</cp:lastPrinted>
  <dcterms:created xsi:type="dcterms:W3CDTF">2025-04-01T15:51:00Z</dcterms:created>
  <dcterms:modified xsi:type="dcterms:W3CDTF">2025-04-03T13:39:00Z</dcterms:modified>
</cp:coreProperties>
</file>